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28" w:rsidRPr="002B07A8" w:rsidRDefault="00033128" w:rsidP="00531E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B07A8">
        <w:rPr>
          <w:rFonts w:ascii="Times New Roman" w:hAnsi="Times New Roman" w:cs="Times New Roman"/>
          <w:b/>
          <w:sz w:val="48"/>
          <w:szCs w:val="48"/>
          <w:lang w:val="uk-UA"/>
        </w:rPr>
        <w:t>Пояснювальна  записка</w:t>
      </w:r>
    </w:p>
    <w:p w:rsidR="00033128" w:rsidRDefault="00431DD2" w:rsidP="001376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07A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до фінансового плану  К</w:t>
      </w:r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>омунального некомерційного підприємства</w:t>
      </w:r>
      <w:r w:rsidRPr="002B07A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>Нетішинської</w:t>
      </w:r>
      <w:proofErr w:type="spellEnd"/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міської ради </w:t>
      </w:r>
      <w:r w:rsidR="0013767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«Спеціалізована медико-санітарна частина</w:t>
      </w:r>
      <w:r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м.Нетішин</w:t>
      </w:r>
      <w:proofErr w:type="spellEnd"/>
      <w:r w:rsidR="00033128"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»</w:t>
      </w:r>
      <w:r w:rsidR="00137671" w:rsidRPr="002B07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 20</w:t>
      </w:r>
      <w:r w:rsidR="00726CD7">
        <w:rPr>
          <w:rFonts w:ascii="Times New Roman" w:hAnsi="Times New Roman" w:cs="Times New Roman"/>
          <w:b/>
          <w:sz w:val="32"/>
          <w:szCs w:val="32"/>
          <w:lang w:val="uk-UA"/>
        </w:rPr>
        <w:t>25</w:t>
      </w:r>
      <w:r w:rsidR="000B186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37671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137671" w:rsidRPr="002B07A8" w:rsidRDefault="00137671" w:rsidP="001376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4EFD" w:rsidRPr="00987270" w:rsidRDefault="00431DD2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КНП НМР «СМСЧ м.Нетішин»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здійснює на  підставі  Статуту,  що затверджений  рішенням </w:t>
      </w:r>
      <w:r w:rsidR="00B52D55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сьомої сесії 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Нетішинської міської ради VI</w:t>
      </w:r>
      <w:r w:rsidR="00B52D55" w:rsidRPr="009872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52D55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12.03.2021р. №7/336</w:t>
      </w:r>
      <w:r w:rsidR="003309F5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змінами.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270" w:rsidRPr="003309F5">
        <w:rPr>
          <w:rFonts w:ascii="Times New Roman" w:hAnsi="Times New Roman" w:cs="Times New Roman"/>
          <w:sz w:val="24"/>
          <w:szCs w:val="24"/>
          <w:lang w:val="uk-UA"/>
        </w:rPr>
        <w:t xml:space="preserve">Проект фінансового плану відповідає статутній діяльності закладу охорони здоров’я. 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>Підприємство</w:t>
      </w:r>
      <w:r w:rsidR="00784EFD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створене на базі майна</w:t>
      </w:r>
      <w:r w:rsidR="00C82766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2766" w:rsidRPr="0098727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C82766" w:rsidRPr="00987270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033128" w:rsidRPr="009872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52E1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270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2B07A8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F252E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368EB">
        <w:rPr>
          <w:rFonts w:ascii="Times New Roman" w:hAnsi="Times New Roman" w:cs="Times New Roman"/>
          <w:sz w:val="24"/>
          <w:szCs w:val="24"/>
          <w:lang w:val="uk-UA"/>
        </w:rPr>
        <w:t>є лікарняним закладом охорони здоров’я, що надає послуги вторин</w:t>
      </w:r>
      <w:r w:rsidR="007D4376" w:rsidRPr="005368EB">
        <w:rPr>
          <w:rFonts w:ascii="Times New Roman" w:hAnsi="Times New Roman" w:cs="Times New Roman"/>
          <w:sz w:val="24"/>
          <w:szCs w:val="24"/>
          <w:lang w:val="uk-UA"/>
        </w:rPr>
        <w:t>ної медичної допомоги населенню</w:t>
      </w:r>
      <w:r w:rsidRPr="005368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00849" w:rsidRPr="00DF459C" w:rsidRDefault="00F252E1" w:rsidP="00DF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1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</w:rPr>
        <w:t xml:space="preserve"> є</w:t>
      </w:r>
      <w:r w:rsidR="00DF4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кваліфікованої</w:t>
      </w:r>
      <w:proofErr w:type="spellEnd"/>
      <w:proofErr w:type="gram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планової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стаціонарної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амбулаторно -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поліклінічної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9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F459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вторинного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профілактики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252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 договорами про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державного</w:t>
      </w:r>
      <w:r w:rsidR="00992D82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 w:rsidR="00992D82">
        <w:rPr>
          <w:rFonts w:ascii="Times New Roman" w:hAnsi="Times New Roman" w:cs="Times New Roman"/>
          <w:sz w:val="24"/>
          <w:szCs w:val="24"/>
        </w:rPr>
        <w:t xml:space="preserve">, </w:t>
      </w:r>
      <w:r w:rsidR="00DF459C">
        <w:rPr>
          <w:rFonts w:ascii="Times New Roman" w:hAnsi="Times New Roman" w:cs="Times New Roman"/>
          <w:sz w:val="24"/>
          <w:szCs w:val="24"/>
        </w:rPr>
        <w:t>б</w:t>
      </w:r>
      <w:r w:rsidR="00992D82">
        <w:rPr>
          <w:rFonts w:ascii="Times New Roman" w:hAnsi="Times New Roman" w:cs="Times New Roman"/>
          <w:sz w:val="24"/>
          <w:szCs w:val="24"/>
        </w:rPr>
        <w:t xml:space="preserve">юджету </w:t>
      </w:r>
      <w:proofErr w:type="spellStart"/>
      <w:r w:rsidR="00992D82">
        <w:rPr>
          <w:rFonts w:ascii="Times New Roman" w:hAnsi="Times New Roman" w:cs="Times New Roman"/>
          <w:sz w:val="24"/>
          <w:szCs w:val="24"/>
        </w:rPr>
        <w:t>Нетішинської</w:t>
      </w:r>
      <w:proofErr w:type="spellEnd"/>
      <w:r w:rsidR="00992D82">
        <w:rPr>
          <w:rFonts w:ascii="Times New Roman" w:hAnsi="Times New Roman" w:cs="Times New Roman"/>
          <w:sz w:val="24"/>
          <w:szCs w:val="24"/>
        </w:rPr>
        <w:t xml:space="preserve"> </w:t>
      </w:r>
      <w:r w:rsidR="00992D82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992D82">
        <w:rPr>
          <w:rFonts w:ascii="Times New Roman" w:hAnsi="Times New Roman" w:cs="Times New Roman"/>
          <w:sz w:val="24"/>
          <w:szCs w:val="24"/>
        </w:rPr>
        <w:t>ТГ</w:t>
      </w:r>
      <w:r w:rsidR="00DF459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F459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9C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9C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="00DF459C">
        <w:rPr>
          <w:rFonts w:ascii="Times New Roman" w:hAnsi="Times New Roman" w:cs="Times New Roman"/>
          <w:sz w:val="24"/>
          <w:szCs w:val="24"/>
        </w:rPr>
        <w:t>.</w:t>
      </w:r>
    </w:p>
    <w:p w:rsidR="00F252E1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2E1" w:rsidRPr="00F252E1" w:rsidRDefault="00F252E1" w:rsidP="00F252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E5509">
        <w:rPr>
          <w:rFonts w:ascii="Times New Roman" w:hAnsi="Times New Roman" w:cs="Times New Roman"/>
          <w:sz w:val="24"/>
          <w:szCs w:val="24"/>
          <w:lang w:val="uk-UA"/>
        </w:rPr>
        <w:t>Комунальне некомерційне підприємство здійснює господарську некомерційну діяльність, спрямовану на досягнення соціальних та інших результатів без мети одержання прибутку, є неприбутковою організацією.</w:t>
      </w:r>
    </w:p>
    <w:p w:rsidR="00033128" w:rsidRPr="002B07A8" w:rsidRDefault="00033128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Види економічної діяльності  згідно КВЕД:</w:t>
      </w:r>
    </w:p>
    <w:p w:rsidR="00F252E1" w:rsidRDefault="00F252E1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>86.10 Діяльність лікарняних закладів;</w:t>
      </w:r>
    </w:p>
    <w:p w:rsidR="00F252E1" w:rsidRDefault="00F252E1" w:rsidP="00F2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86.22 Спеціалізована медична практика;     </w:t>
      </w:r>
    </w:p>
    <w:p w:rsidR="00033128" w:rsidRPr="002B07A8" w:rsidRDefault="00431DD2" w:rsidP="00F2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252E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86.23 Стоматологічна практика.</w:t>
      </w:r>
    </w:p>
    <w:p w:rsidR="00F92E9C" w:rsidRDefault="00F92E9C" w:rsidP="00F92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Виробнича потужність підприємства </w:t>
      </w:r>
      <w:r w:rsidR="00E93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становить 188</w:t>
      </w:r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ліжок цілодобових ст</w:t>
      </w:r>
      <w:r w:rsidR="00E93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аціонарних відділень, планова потужність</w:t>
      </w:r>
      <w:r w:rsidR="00DF45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КДП</w:t>
      </w:r>
      <w:r w:rsidR="00E93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становить</w:t>
      </w:r>
      <w:r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991"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520</w:t>
      </w:r>
      <w:r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відвідувань в зміну, в </w:t>
      </w:r>
      <w:proofErr w:type="spellStart"/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денний стаціонар, жіноча консульт</w:t>
      </w:r>
      <w:r w:rsidR="00DF45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ація, стоматологічне ві</w:t>
      </w:r>
      <w:r w:rsidR="002D0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дділення, педіатричне відділення, хірургічне відділення, відділення профілактики</w:t>
      </w:r>
      <w:r w:rsidR="00E93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медичних оглядів та ді</w:t>
      </w:r>
      <w:r w:rsidR="00FB0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агностичні служби.</w:t>
      </w:r>
    </w:p>
    <w:p w:rsidR="00784EFD" w:rsidRPr="00ED4991" w:rsidRDefault="00784EFD" w:rsidP="00BB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1247" w:rsidRPr="00C63FD8" w:rsidRDefault="00F92E9C" w:rsidP="001E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ED499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Загальна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чисельність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</w:t>
      </w:r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</w:t>
      </w:r>
      <w:proofErr w:type="spellEnd"/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підприємства</w:t>
      </w:r>
      <w:proofErr w:type="spellEnd"/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плановий</w:t>
      </w:r>
      <w:proofErr w:type="spellEnd"/>
      <w:r w:rsidR="00726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</w:t>
      </w:r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рік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передбачена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кількості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435,25</w:t>
      </w:r>
      <w:r w:rsidR="001E1247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штатних одиниці</w:t>
      </w:r>
      <w:r w:rsidR="001E1247" w:rsidRPr="00C63FD8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431DD2" w:rsidRPr="00C63FD8" w:rsidRDefault="00726CD7" w:rsidP="0043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402,0</w:t>
      </w:r>
      <w:r w:rsidR="00C82766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штатних</w:t>
      </w:r>
      <w:r w:rsidR="001E1247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одиниць </w:t>
      </w:r>
      <w:r w:rsidR="00431DD2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</w:t>
      </w:r>
      <w:r w:rsidR="0035171C" w:rsidRPr="00C63FD8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EC3610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в т. ч</w:t>
      </w:r>
      <w:r w:rsidR="00431DD2" w:rsidRPr="00C63F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00849" w:rsidRPr="00C63FD8" w:rsidRDefault="00600849" w:rsidP="00600849">
      <w:pPr>
        <w:tabs>
          <w:tab w:val="left" w:pos="588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>Керівники                                                                    -     4,00  од;</w:t>
      </w:r>
    </w:p>
    <w:p w:rsidR="00431DD2" w:rsidRPr="00C63FD8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Лікарі                                                 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-   76,7</w:t>
      </w:r>
      <w:r w:rsidR="00600849" w:rsidRPr="00C63F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B0910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од;</w:t>
      </w:r>
    </w:p>
    <w:p w:rsidR="00431DD2" w:rsidRPr="00C63FD8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>Молодші спеціалісти з ме</w:t>
      </w:r>
      <w:r w:rsidR="0035171C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дичною освітою        </w:t>
      </w:r>
      <w:r w:rsidR="00600849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-  149,50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431DD2" w:rsidRPr="00C63FD8" w:rsidRDefault="00431DD2" w:rsidP="00EB09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Молодший медперсонал                 </w:t>
      </w:r>
      <w:r w:rsidR="00EB0910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00849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-   88,7</w:t>
      </w:r>
      <w:r w:rsidR="00600849" w:rsidRPr="00C63F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431DD2" w:rsidRPr="00C63FD8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Спеціалісти не медики                     </w:t>
      </w:r>
      <w:r w:rsidR="005E19E7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35171C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600849" w:rsidRPr="00C63FD8">
        <w:rPr>
          <w:rFonts w:ascii="Times New Roman" w:hAnsi="Times New Roman" w:cs="Times New Roman"/>
          <w:sz w:val="24"/>
          <w:szCs w:val="24"/>
          <w:lang w:val="uk-UA"/>
        </w:rPr>
        <w:t>,50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од; </w:t>
      </w:r>
    </w:p>
    <w:p w:rsidR="006E5DAF" w:rsidRPr="00C63FD8" w:rsidRDefault="00431DD2" w:rsidP="00BB4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Інший персонал                                </w:t>
      </w:r>
      <w:r w:rsidR="00E518FB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35171C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26CD7">
        <w:rPr>
          <w:rFonts w:ascii="Times New Roman" w:hAnsi="Times New Roman" w:cs="Times New Roman"/>
          <w:sz w:val="24"/>
          <w:szCs w:val="24"/>
          <w:lang w:val="uk-UA"/>
        </w:rPr>
        <w:t xml:space="preserve">  49</w:t>
      </w:r>
      <w:r w:rsidR="00F1655E" w:rsidRPr="00C63FD8">
        <w:rPr>
          <w:rFonts w:ascii="Times New Roman" w:hAnsi="Times New Roman" w:cs="Times New Roman"/>
          <w:sz w:val="24"/>
          <w:szCs w:val="24"/>
          <w:lang w:val="uk-UA"/>
        </w:rPr>
        <w:t>,50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910" w:rsidRPr="00C63F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3FD8">
        <w:rPr>
          <w:rFonts w:ascii="Times New Roman" w:hAnsi="Times New Roman" w:cs="Times New Roman"/>
          <w:sz w:val="24"/>
          <w:szCs w:val="24"/>
          <w:lang w:val="uk-UA"/>
        </w:rPr>
        <w:t>од.</w:t>
      </w:r>
    </w:p>
    <w:p w:rsidR="0030794D" w:rsidRPr="00DA48A0" w:rsidRDefault="0030794D" w:rsidP="00BB4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31DD2" w:rsidRPr="00DA48A0" w:rsidRDefault="00726CD7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30794D" w:rsidRPr="00DA48A0">
        <w:rPr>
          <w:rFonts w:ascii="Times New Roman" w:hAnsi="Times New Roman" w:cs="Times New Roman"/>
          <w:sz w:val="24"/>
          <w:szCs w:val="24"/>
          <w:lang w:val="uk-UA"/>
        </w:rPr>
        <w:t>,2</w:t>
      </w:r>
      <w:r w:rsidR="00EB0910" w:rsidRPr="00DA48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E124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штатних одиниць</w:t>
      </w:r>
      <w:r w:rsidR="003517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коштів, отриманих від надання медичних послуг в т.ч.:</w:t>
      </w:r>
    </w:p>
    <w:p w:rsidR="0035171C" w:rsidRPr="00DA48A0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Лікарі                                                   </w:t>
      </w:r>
      <w:r w:rsidR="00560B0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26CD7" w:rsidRPr="00DA48A0">
        <w:rPr>
          <w:rFonts w:ascii="Times New Roman" w:hAnsi="Times New Roman" w:cs="Times New Roman"/>
          <w:sz w:val="24"/>
          <w:szCs w:val="24"/>
          <w:lang w:val="uk-UA"/>
        </w:rPr>
        <w:t>-   9,5</w:t>
      </w:r>
      <w:r w:rsidR="00F1655E" w:rsidRPr="00DA48A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35171C" w:rsidRPr="00DA48A0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Молодші спеціалісти з медичною освітою              </w:t>
      </w:r>
      <w:r w:rsidR="00726CD7" w:rsidRPr="00DA48A0">
        <w:rPr>
          <w:rFonts w:ascii="Times New Roman" w:hAnsi="Times New Roman" w:cs="Times New Roman"/>
          <w:sz w:val="24"/>
          <w:szCs w:val="24"/>
          <w:lang w:val="uk-UA"/>
        </w:rPr>
        <w:t>- 20</w:t>
      </w:r>
      <w:r w:rsidR="00F1655E" w:rsidRPr="00DA48A0">
        <w:rPr>
          <w:rFonts w:ascii="Times New Roman" w:hAnsi="Times New Roman" w:cs="Times New Roman"/>
          <w:sz w:val="24"/>
          <w:szCs w:val="24"/>
          <w:lang w:val="uk-UA"/>
        </w:rPr>
        <w:t>,50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од;</w:t>
      </w:r>
    </w:p>
    <w:p w:rsidR="0035171C" w:rsidRPr="00DA48A0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Молодший медперсонал                   </w:t>
      </w:r>
      <w:r w:rsidR="00EB091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-   1,00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35171C" w:rsidRPr="00DA48A0" w:rsidRDefault="005368EB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Спеціалісти не медики                                               </w:t>
      </w:r>
      <w:r w:rsidR="006E5DA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 w:rsidR="00726CD7" w:rsidRPr="00DA48A0">
        <w:rPr>
          <w:rFonts w:ascii="Times New Roman" w:hAnsi="Times New Roman" w:cs="Times New Roman"/>
          <w:sz w:val="24"/>
          <w:szCs w:val="24"/>
          <w:lang w:val="uk-UA"/>
        </w:rPr>
        <w:t>2,2</w:t>
      </w:r>
      <w:r w:rsidR="00EB0910" w:rsidRPr="00DA48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7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BB4800" w:rsidRPr="00DA48A0" w:rsidRDefault="00BB4800" w:rsidP="00BB4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B4800" w:rsidRPr="00DA48A0" w:rsidRDefault="00BB4800" w:rsidP="00EC361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</w:t>
      </w:r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чисельності</w:t>
      </w:r>
      <w:proofErr w:type="spellEnd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CD7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="00726CD7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="00726CD7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6CD7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адміністративно-господарський</w:t>
      </w:r>
      <w:proofErr w:type="spellEnd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та </w:t>
      </w:r>
      <w:proofErr w:type="spellStart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497AF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CD7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87,4</w:t>
      </w:r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6CD7"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лікарі, середній </w:t>
      </w:r>
      <w:r w:rsidR="00EC3610"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медични</w:t>
      </w:r>
      <w:r w:rsidR="00726CD7"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персонал та молодший медичний персонал</w:t>
      </w:r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86" w:rsidRPr="00DA48A0" w:rsidRDefault="00C82766" w:rsidP="00B1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Наданий на затвердження</w:t>
      </w:r>
      <w:r w:rsidR="00BB0A86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фінансовий  план</w:t>
      </w:r>
      <w:r w:rsidR="00033128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31DD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м.Нетішин» </w:t>
      </w:r>
      <w:r w:rsidR="00033128" w:rsidRPr="00DA48A0">
        <w:rPr>
          <w:rFonts w:ascii="Times New Roman" w:hAnsi="Times New Roman" w:cs="Times New Roman"/>
          <w:sz w:val="24"/>
          <w:szCs w:val="24"/>
          <w:lang w:val="uk-UA"/>
        </w:rPr>
        <w:t>сформовано на  базі прогнозних ро</w:t>
      </w:r>
      <w:r w:rsidR="00726CD7" w:rsidRPr="00DA48A0">
        <w:rPr>
          <w:rFonts w:ascii="Times New Roman" w:hAnsi="Times New Roman" w:cs="Times New Roman"/>
          <w:sz w:val="24"/>
          <w:szCs w:val="24"/>
          <w:lang w:val="uk-UA"/>
        </w:rPr>
        <w:t>зрахунків, фактичних  даних 2024</w:t>
      </w:r>
      <w:r w:rsidR="000B186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BE4" w:rsidRPr="00DA48A0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033128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та  очікуваних показників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33128" w:rsidRPr="00DA48A0">
        <w:rPr>
          <w:rFonts w:ascii="Times New Roman" w:hAnsi="Times New Roman" w:cs="Times New Roman"/>
          <w:sz w:val="24"/>
          <w:szCs w:val="24"/>
          <w:lang w:val="uk-UA"/>
        </w:rPr>
        <w:t>а 20</w:t>
      </w:r>
      <w:r w:rsidR="00726CD7" w:rsidRPr="00DA48A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0B186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BE4" w:rsidRPr="00DA48A0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392FED" w:rsidRPr="00DA48A0">
        <w:rPr>
          <w:rFonts w:ascii="Times New Roman" w:hAnsi="Times New Roman" w:cs="Times New Roman"/>
          <w:sz w:val="24"/>
          <w:szCs w:val="24"/>
          <w:lang w:val="uk-UA"/>
        </w:rPr>
        <w:t>, нормативних документів, діючих та прогнозних розцінок  на  виконання робіт(послуг), матеріалів, енергоносіїв,  рівня інфляції, тощо)</w:t>
      </w:r>
      <w:r w:rsidR="00BB0A86" w:rsidRPr="00DA48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56CE" w:rsidRPr="00DA48A0" w:rsidRDefault="000256CE" w:rsidP="00025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Фінансовий план КНП НМР «СМСЧ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» є основним плановим документом, відповідно до якого підприємство отримує доходи і здійснює видатки, визначає обсяг та спрямування коштів для виконання своїх функцій протягом року відповідно до установчих документів. </w:t>
      </w:r>
    </w:p>
    <w:p w:rsidR="006E5DAF" w:rsidRPr="00DA48A0" w:rsidRDefault="006E5DAF" w:rsidP="00B1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1532" w:rsidRPr="00DA48A0" w:rsidRDefault="00831532" w:rsidP="00FB073F">
      <w:pPr>
        <w:ind w:right="99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BB4800" w:rsidRPr="00DA48A0">
        <w:rPr>
          <w:rFonts w:ascii="Times New Roman" w:hAnsi="Times New Roman" w:cs="Times New Roman"/>
          <w:sz w:val="24"/>
          <w:szCs w:val="24"/>
        </w:rPr>
        <w:t>Дохідна</w:t>
      </w:r>
      <w:proofErr w:type="spellEnd"/>
      <w:r w:rsidR="00BB480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800" w:rsidRPr="00DA48A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="00BB480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КНП НМР «СМСЧ </w:t>
      </w:r>
      <w:proofErr w:type="spellStart"/>
      <w:r w:rsidR="00BB4800" w:rsidRPr="00DA48A0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="00BB480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» в </w:t>
      </w:r>
      <w:r w:rsidR="00BB4800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FB073F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ановому 2025</w:t>
      </w:r>
      <w:r w:rsidR="00BB4800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4800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="00BB4800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r w:rsidR="00FB073F" w:rsidRPr="00DA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166000,0</w:t>
      </w:r>
      <w:r w:rsidR="00BB4800" w:rsidRPr="00DA48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BB4800" w:rsidRPr="00DA48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тис.грн</w:t>
      </w:r>
      <w:proofErr w:type="spellEnd"/>
      <w:r w:rsidR="00BB4800" w:rsidRPr="00DA48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497AFF" w:rsidRPr="00DA48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7AFF" w:rsidRPr="00DA48A0">
        <w:rPr>
          <w:rFonts w:ascii="Times New Roman" w:hAnsi="Times New Roman" w:cs="Times New Roman"/>
          <w:sz w:val="24"/>
          <w:szCs w:val="24"/>
        </w:rPr>
        <w:t>Д</w:t>
      </w:r>
      <w:r w:rsidR="004242B5" w:rsidRPr="00DA48A0">
        <w:rPr>
          <w:rFonts w:ascii="Times New Roman" w:hAnsi="Times New Roman" w:cs="Times New Roman"/>
          <w:sz w:val="24"/>
          <w:szCs w:val="24"/>
        </w:rPr>
        <w:t>охідну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доходи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укладених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Національною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службою </w:t>
      </w:r>
      <w:proofErr w:type="spellStart"/>
      <w:r w:rsidR="004242B5" w:rsidRPr="00DA48A0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4242B5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42B5" w:rsidRPr="00DA48A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коштів</w:t>
      </w:r>
      <w:proofErr w:type="gramEnd"/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 w:rsidR="00992D82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82" w:rsidRPr="00DA48A0">
        <w:rPr>
          <w:rFonts w:ascii="Times New Roman" w:hAnsi="Times New Roman" w:cs="Times New Roman"/>
          <w:sz w:val="24"/>
          <w:szCs w:val="24"/>
        </w:rPr>
        <w:t>Нетішинської</w:t>
      </w:r>
      <w:proofErr w:type="spellEnd"/>
      <w:r w:rsidR="00992D82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82" w:rsidRPr="00DA48A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992D82" w:rsidRPr="00DA48A0">
        <w:rPr>
          <w:rFonts w:ascii="Times New Roman" w:hAnsi="Times New Roman" w:cs="Times New Roman"/>
          <w:sz w:val="24"/>
          <w:szCs w:val="24"/>
        </w:rPr>
        <w:t xml:space="preserve"> ТГ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за Комплексною  Програмою розвитку та підтримки комунальних підприємств охорони здоров’я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і надання мед</w:t>
      </w:r>
      <w:r w:rsidR="007C3D80" w:rsidRPr="00DA48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чних послуг  на 2025-2028</w:t>
      </w:r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роки» та коштів власних надходжень.</w:t>
      </w:r>
    </w:p>
    <w:p w:rsidR="009D5454" w:rsidRPr="00DA48A0" w:rsidRDefault="00392FED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У фінансовому  плані  на  20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0B186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BE4" w:rsidRPr="00DA48A0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заплановано отримати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>дохід</w:t>
      </w:r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від реалізації продукції (товарів, робіт, послуг)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рядок 1000</w:t>
      </w:r>
      <w:r w:rsidR="00784EF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основної таблиці) </w:t>
      </w:r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>109 990,6</w:t>
      </w:r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., в </w:t>
      </w:r>
      <w:proofErr w:type="spellStart"/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9D5454" w:rsidRPr="00DA48A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E5DAF" w:rsidRPr="00DA48A0" w:rsidRDefault="006E5DAF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073F" w:rsidRPr="00DA48A0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- кошти отримані від плати за послуги (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медог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ляди та    </w:t>
      </w:r>
    </w:p>
    <w:p w:rsidR="009D5454" w:rsidRPr="00DA48A0" w:rsidRDefault="00FB073F" w:rsidP="00F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Послуги за темою "Медико-санітарне обслуговування")         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15 494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</w:p>
    <w:p w:rsidR="009D5454" w:rsidRPr="00DA48A0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A48A0">
        <w:rPr>
          <w:rFonts w:ascii="Times New Roman" w:hAnsi="Times New Roman" w:cs="Times New Roman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кошти отримані від оренди майна</w:t>
      </w:r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(у </w:t>
      </w:r>
      <w:proofErr w:type="spellStart"/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земельний податок)     </w:t>
      </w:r>
      <w:r w:rsidR="004959EA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AFF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960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9D5454" w:rsidRPr="00DA48A0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кошти отримані від реалізації майна                 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-        </w:t>
      </w:r>
      <w:r w:rsidR="00465D7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5BF3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F93C37" w:rsidRPr="00DA48A0" w:rsidRDefault="00F93C37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кошти отримані від НСЗУ                                  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73F" w:rsidRPr="00DA48A0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 000,0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2139AD" w:rsidRPr="00DA48A0" w:rsidRDefault="002139AD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кошти відшкодовані за комунальні платежі від орендарів            -    2 527,6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E5DAF" w:rsidRPr="00DA48A0" w:rsidRDefault="006E5DAF" w:rsidP="00925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76B" w:rsidRPr="00DA48A0" w:rsidRDefault="000B745A" w:rsidP="00F9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операційні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, рядок 1070</w:t>
      </w:r>
      <w:r w:rsidR="00671AA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73841" w:rsidRPr="00DA48A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D4991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сновної </w:t>
      </w:r>
      <w:r w:rsidR="002139AD" w:rsidRPr="00DA48A0">
        <w:rPr>
          <w:rFonts w:ascii="Times New Roman" w:hAnsi="Times New Roman" w:cs="Times New Roman"/>
          <w:sz w:val="24"/>
          <w:szCs w:val="24"/>
          <w:lang w:val="uk-UA"/>
        </w:rPr>
        <w:t>таблиці)  на суму 56 009,4</w:t>
      </w:r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а саме: </w:t>
      </w:r>
    </w:p>
    <w:p w:rsidR="000B745A" w:rsidRPr="00DA48A0" w:rsidRDefault="000B745A" w:rsidP="00F9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AA0" w:rsidRPr="00DA48A0" w:rsidRDefault="002139AD" w:rsidP="00F06BE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23 609,4</w:t>
      </w:r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 </w:t>
      </w:r>
      <w:r w:rsidR="00392FE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992D8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ТГ</w:t>
      </w:r>
      <w:r w:rsidR="00392FE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Комплексні</w:t>
      </w:r>
      <w:r w:rsidR="00392FE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Програмі 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>розвитку та підтримки комунальних підприємств охорони здоров’</w:t>
      </w:r>
      <w:r w:rsidR="005623B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5623B0" w:rsidRPr="00DA48A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5623B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ТГ і </w:t>
      </w:r>
      <w:r w:rsidR="00823D29" w:rsidRPr="00DA48A0">
        <w:rPr>
          <w:rFonts w:ascii="Times New Roman" w:hAnsi="Times New Roman" w:cs="Times New Roman"/>
          <w:sz w:val="24"/>
          <w:szCs w:val="24"/>
          <w:lang w:val="uk-UA"/>
        </w:rPr>
        <w:t>надання медичних послуг  на 2025-2028</w:t>
      </w:r>
      <w:r w:rsidR="00F93C37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, рядок 1070/1</w:t>
      </w:r>
    </w:p>
    <w:p w:rsidR="006D582F" w:rsidRPr="00DA48A0" w:rsidRDefault="00671AA0" w:rsidP="00F06BE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основної таблиці);</w:t>
      </w:r>
    </w:p>
    <w:p w:rsidR="00892C1C" w:rsidRPr="00DA48A0" w:rsidRDefault="00823D2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18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 з місцевого бюджету</w:t>
      </w:r>
      <w:r w:rsidR="00892C1C" w:rsidRPr="00DA48A0">
        <w:rPr>
          <w:rFonts w:ascii="Times New Roman" w:hAnsi="Times New Roman" w:cs="Times New Roman"/>
          <w:lang w:val="uk-UA"/>
        </w:rPr>
        <w:t xml:space="preserve"> </w:t>
      </w:r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>на придбання обладнання і предметів довгострокового користування</w:t>
      </w:r>
      <w:r w:rsidR="00925C7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7226" w:rsidRPr="00DA48A0">
        <w:rPr>
          <w:rFonts w:ascii="Times New Roman" w:hAnsi="Times New Roman" w:cs="Times New Roman"/>
          <w:sz w:val="24"/>
          <w:szCs w:val="24"/>
          <w:lang w:val="uk-UA"/>
        </w:rPr>
        <w:t>та проведення капітального ремонту приміщень,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рядок 1070/4</w:t>
      </w:r>
      <w:r w:rsidR="00671AA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основної таблиці)</w:t>
      </w:r>
      <w:r w:rsidR="00892C1C" w:rsidRPr="00DA48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23D29" w:rsidRPr="00DA48A0" w:rsidRDefault="00823D2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1 200,00</w:t>
      </w:r>
      <w:r w:rsidR="003F7B3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дохід від депозитних коштів на рахунках в банках, рядок 1070/6 (основної таблиці);</w:t>
      </w:r>
    </w:p>
    <w:p w:rsidR="0003641D" w:rsidRPr="00DA48A0" w:rsidRDefault="00823D2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10 0</w:t>
      </w:r>
      <w:r w:rsidR="00FA7226" w:rsidRPr="00DA48A0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DB25A1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тис грн</w:t>
      </w:r>
      <w:r w:rsidR="0018260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(з суми придбання предметів довгострокового користування)</w:t>
      </w:r>
      <w:r w:rsidR="00644678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визнаний  дохід від цільового фінансування капітальних інвестицій, пропорційно сумі нарахованої амортизації п.18 П БО  15 «Дохід</w:t>
      </w:r>
      <w:r w:rsidR="0003641D" w:rsidRPr="00DA48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, рядок 1070/6 і 1070/7</w:t>
      </w:r>
      <w:r w:rsidR="00671AA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>основної таблиці);</w:t>
      </w:r>
    </w:p>
    <w:p w:rsidR="00426D42" w:rsidRPr="00DA48A0" w:rsidRDefault="00823D29" w:rsidP="00FA72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3 2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>00,0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тис грн це</w:t>
      </w:r>
      <w:r w:rsidR="00FA7226" w:rsidRPr="00DA48A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40F19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тралізоване постачання медикаментів, виробів медичного призначення, рядок 1070/9 ( основної таблиці).  </w:t>
      </w:r>
    </w:p>
    <w:p w:rsidR="00426D42" w:rsidRPr="00DA48A0" w:rsidRDefault="00426D42" w:rsidP="0003641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7B33" w:rsidRPr="00DA48A0" w:rsidRDefault="00831532" w:rsidP="00213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93ED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Витратна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КНП НМР «СМСЧ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» в </w:t>
      </w:r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3F7B33"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ановому 2025</w:t>
      </w:r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D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r w:rsidR="003F7B33" w:rsidRPr="00DA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145700,0 </w:t>
      </w:r>
      <w:proofErr w:type="spellStart"/>
      <w:r w:rsidRPr="00DA48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тис.грн</w:t>
      </w:r>
      <w:proofErr w:type="spellEnd"/>
      <w:r w:rsidRPr="00DA4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A48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Дан</w:t>
      </w:r>
      <w:r w:rsidR="00426D42" w:rsidRPr="00DA48A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26D42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D42" w:rsidRPr="00DA48A0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="00426D42" w:rsidRPr="00DA48A0">
        <w:rPr>
          <w:rFonts w:ascii="Times New Roman" w:hAnsi="Times New Roman" w:cs="Times New Roman"/>
          <w:sz w:val="24"/>
          <w:szCs w:val="24"/>
        </w:rPr>
        <w:t xml:space="preserve"> буде</w:t>
      </w:r>
      <w:r w:rsidR="0098727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D42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D42" w:rsidRPr="00DA48A0">
        <w:rPr>
          <w:rFonts w:ascii="Times New Roman" w:hAnsi="Times New Roman" w:cs="Times New Roman"/>
          <w:sz w:val="24"/>
          <w:szCs w:val="24"/>
        </w:rPr>
        <w:t>розподілено</w:t>
      </w:r>
      <w:proofErr w:type="spellEnd"/>
      <w:r w:rsidR="00426D42" w:rsidRPr="00DA48A0">
        <w:rPr>
          <w:rFonts w:ascii="Times New Roman" w:hAnsi="Times New Roman" w:cs="Times New Roman"/>
          <w:sz w:val="24"/>
          <w:szCs w:val="24"/>
        </w:rPr>
        <w:t xml:space="preserve"> </w:t>
      </w:r>
      <w:r w:rsidR="00987270" w:rsidRPr="00DA48A0">
        <w:rPr>
          <w:rFonts w:ascii="Times New Roman" w:hAnsi="Times New Roman" w:cs="Times New Roman"/>
          <w:sz w:val="24"/>
          <w:szCs w:val="24"/>
          <w:lang w:val="uk-UA"/>
        </w:rPr>
        <w:t>та спрямовано</w:t>
      </w:r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r w:rsidR="00426D42" w:rsidRPr="00DA48A0">
        <w:rPr>
          <w:rFonts w:ascii="Times New Roman" w:hAnsi="Times New Roman" w:cs="Times New Roman"/>
          <w:sz w:val="24"/>
          <w:szCs w:val="24"/>
        </w:rPr>
        <w:t xml:space="preserve">за такими </w:t>
      </w:r>
      <w:proofErr w:type="spellStart"/>
      <w:r w:rsidR="00426D42" w:rsidRPr="00DA48A0">
        <w:rPr>
          <w:rFonts w:ascii="Times New Roman" w:hAnsi="Times New Roman" w:cs="Times New Roman"/>
          <w:sz w:val="24"/>
          <w:szCs w:val="24"/>
        </w:rPr>
        <w:t>видатками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: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заробітна плата медичного та іншого персоналу з нарахуваннями</w:t>
      </w:r>
      <w:r w:rsidR="00987270" w:rsidRPr="00DA48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умов оплати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70" w:rsidRPr="00DA48A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987270" w:rsidRPr="00DA48A0">
        <w:rPr>
          <w:rFonts w:ascii="Times New Roman" w:hAnsi="Times New Roman" w:cs="Times New Roman"/>
          <w:sz w:val="24"/>
          <w:szCs w:val="24"/>
        </w:rPr>
        <w:t>,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lastRenderedPageBreak/>
        <w:t>придбання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медикаментів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293ED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пацієнтам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; придбання продуктів харчування для хворих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у стаціонарних відділеннях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оплата комунальних послуг та енергоносіїв;</w:t>
      </w:r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BA74F4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(придбання обладнання і предметів довгострокового користування</w:t>
      </w:r>
      <w:r w:rsidR="00FA7226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, капітальний ремонт </w:t>
      </w:r>
      <w:r w:rsidR="003F7B33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A7226" w:rsidRPr="00DA48A0">
        <w:rPr>
          <w:rFonts w:ascii="Times New Roman" w:hAnsi="Times New Roman" w:cs="Times New Roman"/>
          <w:sz w:val="24"/>
          <w:szCs w:val="24"/>
          <w:lang w:val="uk-UA"/>
        </w:rPr>
        <w:t>приміщення</w:t>
      </w:r>
      <w:r w:rsidR="003F7B33" w:rsidRPr="00DA48A0">
        <w:rPr>
          <w:rFonts w:ascii="Times New Roman" w:hAnsi="Times New Roman" w:cs="Times New Roman"/>
          <w:sz w:val="24"/>
          <w:szCs w:val="24"/>
          <w:lang w:val="uk-UA"/>
        </w:rPr>
        <w:t>х відділень</w:t>
      </w:r>
      <w:r w:rsidR="00BA74F4" w:rsidRPr="00DA48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A48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господарсько-будівельних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A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</w:rPr>
        <w:t>поточни</w:t>
      </w:r>
      <w:proofErr w:type="spellEnd"/>
      <w:r w:rsidR="003F7B33" w:rsidRPr="00DA48A0">
        <w:rPr>
          <w:rFonts w:ascii="Times New Roman" w:hAnsi="Times New Roman" w:cs="Times New Roman"/>
          <w:sz w:val="24"/>
          <w:szCs w:val="24"/>
          <w:lang w:val="uk-UA"/>
        </w:rPr>
        <w:t>х ремонтів</w:t>
      </w:r>
      <w:r w:rsidR="00426D42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3ED2" w:rsidRPr="00DA48A0">
        <w:rPr>
          <w:rFonts w:ascii="Times New Roman" w:hAnsi="Times New Roman" w:cs="Times New Roman"/>
          <w:sz w:val="24"/>
          <w:szCs w:val="24"/>
          <w:lang w:val="uk-UA"/>
        </w:rPr>
        <w:t>придбання матеріалів та послуг для забезпечення діяльності підприємства</w:t>
      </w:r>
      <w:r w:rsidR="00BA74F4" w:rsidRPr="00DA48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256CE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6E5DAF" w:rsidRPr="00DA48A0" w:rsidRDefault="00293ED2" w:rsidP="00293ED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0C790E" w:rsidRPr="00DA48A0">
        <w:rPr>
          <w:rFonts w:ascii="Times New Roman" w:hAnsi="Times New Roman" w:cs="Times New Roman"/>
          <w:b/>
          <w:sz w:val="26"/>
          <w:szCs w:val="26"/>
          <w:lang w:val="uk-UA"/>
        </w:rPr>
        <w:t>Витратна частина фінансового плану на 20</w:t>
      </w:r>
      <w:r w:rsidR="003F7B33" w:rsidRPr="00DA48A0">
        <w:rPr>
          <w:rFonts w:ascii="Times New Roman" w:hAnsi="Times New Roman" w:cs="Times New Roman"/>
          <w:b/>
          <w:sz w:val="26"/>
          <w:szCs w:val="26"/>
          <w:lang w:val="uk-UA"/>
        </w:rPr>
        <w:t>25</w:t>
      </w:r>
      <w:r w:rsidR="000C790E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2C380E" w:rsidRPr="00DA48A0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440F19" w:rsidRPr="00DA48A0" w:rsidRDefault="00862366" w:rsidP="00862366">
      <w:pPr>
        <w:tabs>
          <w:tab w:val="left" w:pos="825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A48A0">
        <w:rPr>
          <w:rFonts w:ascii="Times New Roman" w:hAnsi="Times New Roman" w:cs="Times New Roman"/>
          <w:sz w:val="26"/>
          <w:szCs w:val="26"/>
          <w:lang w:val="uk-UA"/>
        </w:rPr>
        <w:t>Собівартість наданих послуг, рядок 1</w:t>
      </w:r>
      <w:r w:rsidR="00E13DBC" w:rsidRPr="00DA48A0">
        <w:rPr>
          <w:rFonts w:ascii="Times New Roman" w:hAnsi="Times New Roman" w:cs="Times New Roman"/>
          <w:sz w:val="26"/>
          <w:szCs w:val="26"/>
          <w:lang w:val="uk-UA"/>
        </w:rPr>
        <w:t>010</w:t>
      </w:r>
      <w:r w:rsidR="00CD41E0" w:rsidRPr="00DA48A0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DA48A0">
        <w:rPr>
          <w:rFonts w:ascii="Times New Roman" w:hAnsi="Times New Roman" w:cs="Times New Roman"/>
          <w:sz w:val="26"/>
          <w:szCs w:val="26"/>
          <w:lang w:val="uk-UA"/>
        </w:rPr>
        <w:t>основної таблиці)  становить сума</w:t>
      </w:r>
      <w:r w:rsidR="00BA74F4" w:rsidRPr="00DA48A0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DA4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7B33" w:rsidRPr="00DA48A0">
        <w:rPr>
          <w:rFonts w:ascii="Times New Roman" w:hAnsi="Times New Roman" w:cs="Times New Roman"/>
          <w:b/>
          <w:sz w:val="26"/>
          <w:szCs w:val="26"/>
          <w:lang w:val="uk-UA"/>
        </w:rPr>
        <w:t>90 446</w:t>
      </w:r>
      <w:r w:rsidR="00ED0096" w:rsidRPr="00DA48A0">
        <w:rPr>
          <w:rFonts w:ascii="Times New Roman" w:hAnsi="Times New Roman" w:cs="Times New Roman"/>
          <w:b/>
          <w:sz w:val="26"/>
          <w:szCs w:val="26"/>
          <w:lang w:val="uk-UA"/>
        </w:rPr>
        <w:t>,0</w:t>
      </w:r>
      <w:r w:rsidR="00DB25A1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B25A1" w:rsidRPr="00DA48A0">
        <w:rPr>
          <w:rFonts w:ascii="Times New Roman" w:hAnsi="Times New Roman" w:cs="Times New Roman"/>
          <w:sz w:val="26"/>
          <w:szCs w:val="26"/>
          <w:lang w:val="uk-UA"/>
        </w:rPr>
        <w:t xml:space="preserve">тис </w:t>
      </w:r>
      <w:r w:rsidRPr="00DA48A0">
        <w:rPr>
          <w:rFonts w:ascii="Times New Roman" w:hAnsi="Times New Roman" w:cs="Times New Roman"/>
          <w:sz w:val="26"/>
          <w:szCs w:val="26"/>
          <w:lang w:val="uk-UA"/>
        </w:rPr>
        <w:t>грн.</w:t>
      </w:r>
    </w:p>
    <w:p w:rsidR="00C15031" w:rsidRPr="00DA48A0" w:rsidRDefault="000C790E" w:rsidP="002C380E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</w:t>
      </w:r>
      <w:r w:rsidR="00CD41E0" w:rsidRPr="00DA48A0">
        <w:rPr>
          <w:rFonts w:ascii="Times New Roman" w:hAnsi="Times New Roman" w:cs="Times New Roman"/>
          <w:b/>
          <w:sz w:val="26"/>
          <w:szCs w:val="26"/>
          <w:lang w:val="uk-UA"/>
        </w:rPr>
        <w:t>адміністративних витрат (к</w:t>
      </w:r>
      <w:r w:rsidR="00C15031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од рядка </w:t>
      </w: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>1030</w:t>
      </w:r>
      <w:r w:rsidR="00F45FE6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основної таблиці</w:t>
      </w:r>
      <w:r w:rsidR="00C15031" w:rsidRPr="00DA48A0">
        <w:rPr>
          <w:rFonts w:ascii="Times New Roman" w:hAnsi="Times New Roman" w:cs="Times New Roman"/>
          <w:b/>
          <w:sz w:val="26"/>
          <w:szCs w:val="26"/>
          <w:lang w:val="uk-UA"/>
        </w:rPr>
        <w:t>) включено витрати: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DA48A0" w:rsidRPr="00DA48A0" w:rsidTr="00CD41E0">
        <w:tc>
          <w:tcPr>
            <w:tcW w:w="988" w:type="dxa"/>
            <w:vAlign w:val="center"/>
          </w:tcPr>
          <w:p w:rsidR="00C15031" w:rsidRPr="00DA48A0" w:rsidRDefault="00C15031" w:rsidP="002F6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465D7B" w:rsidRPr="00DA48A0" w:rsidRDefault="00C15031" w:rsidP="00A33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</w:t>
            </w:r>
            <w:r w:rsidR="00442F92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витрат</w:t>
            </w:r>
          </w:p>
        </w:tc>
        <w:tc>
          <w:tcPr>
            <w:tcW w:w="1842" w:type="dxa"/>
            <w:vAlign w:val="center"/>
          </w:tcPr>
          <w:p w:rsidR="00A15BF3" w:rsidRPr="00DA48A0" w:rsidRDefault="00C15031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3F7B3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15031" w:rsidRPr="00DA48A0" w:rsidRDefault="00A5685E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A48A0" w:rsidRPr="00DA48A0" w:rsidTr="00CD41E0">
        <w:trPr>
          <w:trHeight w:val="279"/>
        </w:trPr>
        <w:tc>
          <w:tcPr>
            <w:tcW w:w="988" w:type="dxa"/>
            <w:vAlign w:val="center"/>
          </w:tcPr>
          <w:p w:rsidR="00C15031" w:rsidRPr="00DA48A0" w:rsidRDefault="006173B0" w:rsidP="0061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15031" w:rsidRPr="00DA48A0" w:rsidRDefault="000C790E" w:rsidP="00C675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C15031" w:rsidRPr="00DA48A0" w:rsidRDefault="003F7B33" w:rsidP="005806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120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DA48A0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0C790E" w:rsidRPr="00DA48A0" w:rsidRDefault="003F7B33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DA48A0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0C790E" w:rsidRPr="00DA48A0" w:rsidRDefault="003F7B33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DA48A0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0C790E" w:rsidRPr="00DA48A0" w:rsidRDefault="00BA74F4" w:rsidP="00440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F7B3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9 000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DA48A0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0C790E" w:rsidRPr="00DA48A0" w:rsidRDefault="00BA74F4" w:rsidP="00F23E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F7B3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1 962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DA48A0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DA4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A48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0C790E" w:rsidRPr="00DA48A0" w:rsidRDefault="00BA74F4" w:rsidP="00BA74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641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0C790E" w:rsidRPr="00DA48A0" w:rsidRDefault="009910C4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0C790E" w:rsidRPr="00DA48A0" w:rsidRDefault="00A5685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0C790E" w:rsidRPr="00DA48A0" w:rsidRDefault="003F7B33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A5685E" w:rsidRPr="00DA48A0" w:rsidRDefault="009910C4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5E" w:rsidRPr="00DA48A0" w:rsidRDefault="00A5685E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641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комп'ютерної техніки (у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03641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заправка картриджів)</w:t>
            </w:r>
            <w:r w:rsidR="00F23EA8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довідки, витяги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послуги</w:t>
            </w:r>
          </w:p>
        </w:tc>
        <w:tc>
          <w:tcPr>
            <w:tcW w:w="1842" w:type="dxa"/>
          </w:tcPr>
          <w:p w:rsidR="00A5685E" w:rsidRPr="00DA48A0" w:rsidRDefault="004907CD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F23EA8" w:rsidRPr="00DA48A0" w:rsidRDefault="00F23EA8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DA48A0" w:rsidRDefault="00F23EA8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земельного податку</w:t>
            </w:r>
          </w:p>
        </w:tc>
        <w:tc>
          <w:tcPr>
            <w:tcW w:w="1842" w:type="dxa"/>
          </w:tcPr>
          <w:p w:rsidR="00F23EA8" w:rsidRPr="00DA48A0" w:rsidRDefault="004907CD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CD41E0">
        <w:tc>
          <w:tcPr>
            <w:tcW w:w="988" w:type="dxa"/>
            <w:vAlign w:val="center"/>
          </w:tcPr>
          <w:p w:rsidR="00A5685E" w:rsidRPr="00DA48A0" w:rsidRDefault="00DC1C98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5E" w:rsidRPr="00DA48A0" w:rsidRDefault="00CD41E0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предметів та матеріалів (канцелярські товари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B25A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бланкова продукція, реєстраційні журнали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передплата періодичних видань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мийні засоби,</w:t>
            </w:r>
            <w:r w:rsidRPr="00DA48A0">
              <w:rPr>
                <w:lang w:val="uk-UA"/>
              </w:rPr>
              <w:t xml:space="preserve"> 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842" w:type="dxa"/>
          </w:tcPr>
          <w:p w:rsidR="00A5685E" w:rsidRPr="00DA48A0" w:rsidRDefault="00BA74F4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907C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3641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5685E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DA48A0" w:rsidRPr="00DA48A0" w:rsidTr="00CD41E0">
        <w:tc>
          <w:tcPr>
            <w:tcW w:w="988" w:type="dxa"/>
          </w:tcPr>
          <w:p w:rsidR="00A5685E" w:rsidRPr="00DA48A0" w:rsidRDefault="00A5685E" w:rsidP="00A568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A5685E" w:rsidRPr="00DA48A0" w:rsidRDefault="00A5685E" w:rsidP="00A5685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842" w:type="dxa"/>
          </w:tcPr>
          <w:p w:rsidR="00A5685E" w:rsidRPr="00DA48A0" w:rsidRDefault="004907CD" w:rsidP="00E13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12 317</w:t>
            </w:r>
            <w:r w:rsidR="003A6870"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BA74F4" w:rsidRPr="00DA48A0" w:rsidRDefault="00CD41E0" w:rsidP="00CD41E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</w:t>
      </w:r>
    </w:p>
    <w:p w:rsidR="00F23EA8" w:rsidRPr="00DA48A0" w:rsidRDefault="006D3A03" w:rsidP="002D007F">
      <w:pPr>
        <w:ind w:left="2835" w:hanging="2835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До інших</w:t>
      </w:r>
      <w:r w:rsidR="006E5DAF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операційних  витрат  включені наступні статті витрат</w:t>
      </w:r>
      <w:r w:rsidR="00E32070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BB0A86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2070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</w:t>
      </w:r>
      <w:r w:rsidR="00BB0A86" w:rsidRPr="00DA48A0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F23EA8" w:rsidRPr="00DA48A0">
        <w:rPr>
          <w:rFonts w:ascii="Times New Roman" w:hAnsi="Times New Roman" w:cs="Times New Roman"/>
          <w:b/>
          <w:sz w:val="26"/>
          <w:szCs w:val="26"/>
          <w:lang w:val="uk-UA"/>
        </w:rPr>
        <w:t>код рядка 108</w:t>
      </w:r>
      <w:r w:rsidR="0003641D" w:rsidRPr="00DA48A0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BB0A86" w:rsidRPr="00DA48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основної таблиці</w:t>
      </w:r>
      <w:r w:rsidR="00E32070" w:rsidRPr="00DA48A0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DA48A0" w:rsidRPr="00DA48A0" w:rsidTr="009910C4">
        <w:tc>
          <w:tcPr>
            <w:tcW w:w="988" w:type="dxa"/>
            <w:vAlign w:val="center"/>
          </w:tcPr>
          <w:p w:rsidR="009F3EC7" w:rsidRPr="00DA48A0" w:rsidRDefault="009F3EC7" w:rsidP="002F6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9F3EC7" w:rsidRPr="00DA48A0" w:rsidRDefault="009F3EC7" w:rsidP="0046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</w:t>
            </w:r>
            <w:r w:rsidR="00442F92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</w:t>
            </w:r>
          </w:p>
        </w:tc>
        <w:tc>
          <w:tcPr>
            <w:tcW w:w="1842" w:type="dxa"/>
            <w:vAlign w:val="center"/>
          </w:tcPr>
          <w:p w:rsidR="0017276B" w:rsidRPr="00DA48A0" w:rsidRDefault="009F3EC7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4907C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D41E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</w:t>
            </w:r>
          </w:p>
          <w:p w:rsidR="009F3EC7" w:rsidRPr="00DA48A0" w:rsidRDefault="00A5685E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771017" w:rsidRPr="00DA48A0" w:rsidRDefault="004907CD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5 200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771017" w:rsidRPr="00DA48A0" w:rsidRDefault="004907CD" w:rsidP="00BA74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1 144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771017" w:rsidRPr="00DA48A0" w:rsidRDefault="004907CD" w:rsidP="006D3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4 0</w:t>
            </w:r>
            <w:r w:rsidR="00BA74F4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771017" w:rsidRPr="00DA48A0" w:rsidRDefault="004907CD" w:rsidP="00BA74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3 365,0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</w:t>
            </w:r>
            <w:r w:rsidR="0017276B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послуг та енергоносіїв</w:t>
            </w:r>
          </w:p>
        </w:tc>
        <w:tc>
          <w:tcPr>
            <w:tcW w:w="1842" w:type="dxa"/>
          </w:tcPr>
          <w:p w:rsidR="00771017" w:rsidRPr="00DA48A0" w:rsidRDefault="002139AD" w:rsidP="00BA74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9 172,4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771017" w:rsidRPr="00DA48A0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DA48A0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771017" w:rsidRPr="00DA48A0" w:rsidRDefault="004907CD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728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4907CD" w:rsidRPr="00DA48A0" w:rsidRDefault="004907CD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CD" w:rsidRPr="00DA48A0" w:rsidRDefault="004907CD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842" w:type="dxa"/>
          </w:tcPr>
          <w:p w:rsidR="004907CD" w:rsidRPr="00DA48A0" w:rsidRDefault="004907CD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700,0</w:t>
            </w:r>
          </w:p>
        </w:tc>
      </w:tr>
      <w:tr w:rsidR="00DA48A0" w:rsidRPr="00DA48A0" w:rsidTr="009910C4">
        <w:tc>
          <w:tcPr>
            <w:tcW w:w="988" w:type="dxa"/>
            <w:vAlign w:val="center"/>
          </w:tcPr>
          <w:p w:rsidR="009A403B" w:rsidRPr="00DA48A0" w:rsidRDefault="004907CD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3B" w:rsidRPr="00DA48A0" w:rsidRDefault="009A403B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довгострокового </w:t>
            </w:r>
            <w:r w:rsidR="003A6870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використання, капітальний ремонт приміщень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9A403B" w:rsidRPr="00DA48A0" w:rsidRDefault="000439FD" w:rsidP="00043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907C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A403B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</w:tr>
      <w:tr w:rsidR="00DA48A0" w:rsidRPr="00DA48A0" w:rsidTr="009910C4">
        <w:trPr>
          <w:trHeight w:val="337"/>
        </w:trPr>
        <w:tc>
          <w:tcPr>
            <w:tcW w:w="988" w:type="dxa"/>
          </w:tcPr>
          <w:p w:rsidR="001D19D3" w:rsidRPr="00DA48A0" w:rsidRDefault="001D19D3" w:rsidP="001D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1D19D3" w:rsidRPr="00DA48A0" w:rsidRDefault="001D19D3" w:rsidP="001D19D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Всього  інших </w:t>
            </w:r>
            <w:r w:rsidR="00E32070" w:rsidRPr="00DA48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операційних</w:t>
            </w:r>
            <w:r w:rsidRPr="00DA48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витрат</w:t>
            </w:r>
          </w:p>
        </w:tc>
        <w:tc>
          <w:tcPr>
            <w:tcW w:w="1842" w:type="dxa"/>
          </w:tcPr>
          <w:p w:rsidR="001D19D3" w:rsidRPr="00DA48A0" w:rsidRDefault="001D19D3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9910C4"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2139AD"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30 309,4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</w:tc>
      </w:tr>
    </w:tbl>
    <w:p w:rsidR="009A403B" w:rsidRPr="00DA48A0" w:rsidRDefault="00BA3F9A" w:rsidP="00F23EA8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lastRenderedPageBreak/>
        <w:t>Окрім того</w:t>
      </w:r>
      <w:r w:rsidR="003A6870" w:rsidRPr="00DA48A0">
        <w:rPr>
          <w:rFonts w:ascii="Times New Roman" w:hAnsi="Times New Roman" w:cs="Times New Roman"/>
          <w:sz w:val="24"/>
          <w:szCs w:val="24"/>
          <w:lang w:val="uk-UA"/>
        </w:rPr>
        <w:t>, в рядок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3A6870" w:rsidRPr="00DA48A0">
        <w:rPr>
          <w:rFonts w:ascii="Times New Roman" w:hAnsi="Times New Roman" w:cs="Times New Roman"/>
          <w:sz w:val="24"/>
          <w:szCs w:val="24"/>
          <w:lang w:val="uk-UA"/>
        </w:rPr>
        <w:t>080 (основної таблиці) включено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139AD" w:rsidRPr="00DA48A0" w:rsidRDefault="002139AD" w:rsidP="002139AD">
      <w:pPr>
        <w:pStyle w:val="a6"/>
        <w:ind w:left="284" w:hanging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  рядок 1080/10 кошти відшкодовані за комунальні платежі від орендарів у сумі   2 527,6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23EA8" w:rsidRPr="00DA48A0" w:rsidRDefault="00F23EA8" w:rsidP="00F23EA8">
      <w:pPr>
        <w:pStyle w:val="a6"/>
        <w:ind w:left="284" w:hanging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-   рядок 1080/</w:t>
      </w:r>
      <w:r w:rsidR="003C20A4" w:rsidRPr="00DA48A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  - капітальні видатки від суми доходу власних надходжень (придбання обладнання довгострокового використання) на суму    </w:t>
      </w:r>
      <w:r w:rsidR="000439F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7CD" w:rsidRPr="00DA48A0">
        <w:rPr>
          <w:rFonts w:ascii="Times New Roman" w:hAnsi="Times New Roman" w:cs="Times New Roman"/>
          <w:sz w:val="24"/>
          <w:szCs w:val="24"/>
          <w:lang w:val="uk-UA"/>
        </w:rPr>
        <w:t>3 000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="00DC1C98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C1C98" w:rsidRPr="00DA48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C1C98" w:rsidRPr="00DA48A0" w:rsidRDefault="00DC1C98" w:rsidP="00DC1C98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   рядок 1080/15 (основної таблиці) -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цетралізоване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постачання медикаментів, виробів медичного </w:t>
      </w:r>
      <w:r w:rsidR="0058066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на суму </w:t>
      </w:r>
      <w:r w:rsidR="004907C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1 2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00,0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03B" w:rsidRPr="00DA48A0" w:rsidRDefault="0058066D" w:rsidP="009A403B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рядок 1080/1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- 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амортизація основних засобів і нематеріальних активів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загальногосподарського призначення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7CD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5 900</w:t>
      </w:r>
      <w:r w:rsidR="00BA3F9A" w:rsidRPr="00DA48A0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A403B" w:rsidRPr="00DA48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39FD" w:rsidRPr="00DA48A0" w:rsidRDefault="000439FD" w:rsidP="009A403B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7CD" w:rsidRPr="00DA48A0" w:rsidRDefault="004907CD" w:rsidP="009A403B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10C4" w:rsidRPr="00DA48A0" w:rsidRDefault="009910C4" w:rsidP="009910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8A0">
        <w:rPr>
          <w:rFonts w:ascii="Times New Roman" w:hAnsi="Times New Roman" w:cs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DA48A0" w:rsidRPr="00DA48A0" w:rsidTr="00137671">
        <w:tc>
          <w:tcPr>
            <w:tcW w:w="988" w:type="dxa"/>
          </w:tcPr>
          <w:p w:rsidR="00476140" w:rsidRPr="00DA48A0" w:rsidRDefault="00476140" w:rsidP="003109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476140" w:rsidRPr="00DA48A0" w:rsidRDefault="00442F92" w:rsidP="0036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137671" w:rsidRPr="00DA48A0" w:rsidRDefault="00476140" w:rsidP="0036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4907CD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</w:t>
            </w:r>
            <w:r w:rsidR="0013767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  <w:p w:rsidR="00476140" w:rsidRPr="00DA48A0" w:rsidRDefault="00137671" w:rsidP="00137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DA48A0" w:rsidRPr="00DA48A0" w:rsidTr="00137671">
        <w:tc>
          <w:tcPr>
            <w:tcW w:w="988" w:type="dxa"/>
            <w:vAlign w:val="center"/>
          </w:tcPr>
          <w:p w:rsidR="00476140" w:rsidRPr="00DA48A0" w:rsidRDefault="00476140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476140" w:rsidRPr="00DA48A0" w:rsidRDefault="00AC0DA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DA48A0">
              <w:rPr>
                <w:rFonts w:ascii="Times New Roman" w:hAnsi="Times New Roman" w:cs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476140" w:rsidRPr="00DA48A0" w:rsidRDefault="004907CD" w:rsidP="00490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1 037,00</w:t>
            </w:r>
          </w:p>
        </w:tc>
      </w:tr>
      <w:tr w:rsidR="00DA48A0" w:rsidRPr="00DA48A0" w:rsidTr="00137671">
        <w:tc>
          <w:tcPr>
            <w:tcW w:w="988" w:type="dxa"/>
            <w:vAlign w:val="center"/>
          </w:tcPr>
          <w:p w:rsidR="00476140" w:rsidRPr="00DA48A0" w:rsidRDefault="00476140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476140" w:rsidRPr="00DA48A0" w:rsidRDefault="00AC0DA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DA48A0">
              <w:rPr>
                <w:rFonts w:ascii="Times New Roman" w:hAnsi="Times New Roman" w:cs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476140" w:rsidRPr="00DA48A0" w:rsidRDefault="00796A21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760B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16 398,00</w:t>
            </w:r>
          </w:p>
        </w:tc>
      </w:tr>
      <w:tr w:rsidR="00DA48A0" w:rsidRPr="00DA48A0" w:rsidTr="00137671">
        <w:tc>
          <w:tcPr>
            <w:tcW w:w="988" w:type="dxa"/>
            <w:vAlign w:val="center"/>
          </w:tcPr>
          <w:p w:rsidR="00AC0DAA" w:rsidRPr="00DA48A0" w:rsidRDefault="00A5010A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AC0DAA" w:rsidRPr="00DA48A0" w:rsidRDefault="00A5010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DA48A0">
              <w:rPr>
                <w:rFonts w:ascii="Times New Roman" w:hAnsi="Times New Roman" w:cs="Times New Roman"/>
                <w:lang w:val="uk-UA"/>
              </w:rPr>
              <w:t>в</w:t>
            </w:r>
            <w:r w:rsidR="004907CD" w:rsidRPr="00DA48A0">
              <w:rPr>
                <w:rFonts w:ascii="Times New Roman" w:hAnsi="Times New Roman" w:cs="Times New Roman"/>
                <w:lang w:val="uk-UA"/>
              </w:rPr>
              <w:t xml:space="preserve">ійськовий збір </w:t>
            </w:r>
            <w:r w:rsidR="00AC0DAA" w:rsidRPr="00DA48A0">
              <w:rPr>
                <w:rFonts w:ascii="Times New Roman" w:hAnsi="Times New Roman" w:cs="Times New Roman"/>
                <w:lang w:val="uk-UA"/>
              </w:rPr>
              <w:t>5%</w:t>
            </w:r>
          </w:p>
        </w:tc>
        <w:tc>
          <w:tcPr>
            <w:tcW w:w="1842" w:type="dxa"/>
          </w:tcPr>
          <w:p w:rsidR="00AC0DAA" w:rsidRPr="00DA48A0" w:rsidRDefault="00796A21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227F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760B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3 821,2</w:t>
            </w:r>
          </w:p>
        </w:tc>
      </w:tr>
      <w:tr w:rsidR="00DA48A0" w:rsidRPr="00DA48A0" w:rsidTr="00137671">
        <w:tc>
          <w:tcPr>
            <w:tcW w:w="988" w:type="dxa"/>
            <w:vAlign w:val="center"/>
          </w:tcPr>
          <w:p w:rsidR="00AC0DAA" w:rsidRPr="00DA48A0" w:rsidRDefault="00137671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AA" w:rsidRPr="00DA48A0" w:rsidRDefault="00AC0DAA" w:rsidP="00AC0DAA">
            <w:pPr>
              <w:rPr>
                <w:rFonts w:ascii="Times New Roman" w:hAnsi="Times New Roman" w:cs="Times New Roman"/>
                <w:lang w:val="uk-UA"/>
              </w:rPr>
            </w:pPr>
            <w:r w:rsidRPr="00DA48A0">
              <w:rPr>
                <w:rFonts w:ascii="Times New Roman" w:hAnsi="Times New Roman" w:cs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AC0DAA" w:rsidRPr="00DA48A0" w:rsidRDefault="00796A21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27F1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760B3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13 756,3</w:t>
            </w:r>
          </w:p>
        </w:tc>
      </w:tr>
      <w:tr w:rsidR="00DA48A0" w:rsidRPr="00DA48A0" w:rsidTr="00137671">
        <w:tc>
          <w:tcPr>
            <w:tcW w:w="988" w:type="dxa"/>
            <w:vAlign w:val="center"/>
          </w:tcPr>
          <w:p w:rsidR="00AC0DAA" w:rsidRPr="00DA48A0" w:rsidRDefault="00137671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AA" w:rsidRPr="00DA48A0" w:rsidRDefault="00AC0DAA" w:rsidP="00AC0DAA">
            <w:pPr>
              <w:rPr>
                <w:rFonts w:ascii="Times New Roman" w:hAnsi="Times New Roman" w:cs="Times New Roman"/>
                <w:lang w:val="uk-UA"/>
              </w:rPr>
            </w:pPr>
            <w:r w:rsidRPr="00DA48A0">
              <w:rPr>
                <w:rFonts w:ascii="Times New Roman" w:hAnsi="Times New Roman" w:cs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AC0DAA" w:rsidRPr="00DA48A0" w:rsidRDefault="004907CD" w:rsidP="0018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</w:t>
            </w:r>
            <w:r w:rsidR="00BA3F9A" w:rsidRPr="00DA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A48A0" w:rsidRPr="00DA48A0" w:rsidTr="00137671">
        <w:tc>
          <w:tcPr>
            <w:tcW w:w="988" w:type="dxa"/>
          </w:tcPr>
          <w:p w:rsidR="00AC0DAA" w:rsidRPr="00DA48A0" w:rsidRDefault="00AC0DAA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AC0DAA" w:rsidRPr="00DA48A0" w:rsidRDefault="00AC0DAA" w:rsidP="00AC0D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AC0DAA" w:rsidRPr="00DA48A0" w:rsidRDefault="003760B3" w:rsidP="009910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4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35 112,5</w:t>
            </w:r>
          </w:p>
        </w:tc>
      </w:tr>
    </w:tbl>
    <w:p w:rsidR="00A33904" w:rsidRPr="00DA48A0" w:rsidRDefault="00325D0E" w:rsidP="00325D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925C74" w:rsidRPr="00DA48A0" w:rsidRDefault="00925C74" w:rsidP="00401EF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В  рядку 3405 таблиці 3 «Рух грошових коштів»</w:t>
      </w:r>
      <w:r w:rsidRPr="00DA48A0">
        <w:rPr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зазначено</w:t>
      </w:r>
      <w:r w:rsidRPr="00DA48A0">
        <w:rPr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залишок коштів на початок періоду (станом на </w:t>
      </w:r>
      <w:r w:rsidR="003760B3" w:rsidRPr="00DA48A0">
        <w:rPr>
          <w:rFonts w:ascii="Times New Roman" w:hAnsi="Times New Roman" w:cs="Times New Roman"/>
          <w:sz w:val="24"/>
          <w:szCs w:val="24"/>
          <w:lang w:val="uk-UA"/>
        </w:rPr>
        <w:t>01.01.2025</w:t>
      </w:r>
      <w:r w:rsidR="000B1860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року) у сумі 9 000,0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, а саме: залишок коштів НСЗУ у сумі 8 000,0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та  залишок коштів отриманих від опе</w:t>
      </w:r>
      <w:r w:rsidR="00401EF8" w:rsidRPr="00DA48A0">
        <w:rPr>
          <w:rFonts w:ascii="Times New Roman" w:hAnsi="Times New Roman" w:cs="Times New Roman"/>
          <w:sz w:val="24"/>
          <w:szCs w:val="24"/>
          <w:lang w:val="uk-UA"/>
        </w:rPr>
        <w:t>раційної діяльності у сумі 1 000,0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48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A48A0">
        <w:rPr>
          <w:rFonts w:ascii="Times New Roman" w:hAnsi="Times New Roman" w:cs="Times New Roman"/>
          <w:sz w:val="24"/>
          <w:szCs w:val="24"/>
          <w:lang w:val="uk-UA"/>
        </w:rPr>
        <w:t>, який буде спрямовано на виплату заробітної плати працівникам підприємства.</w:t>
      </w:r>
    </w:p>
    <w:p w:rsidR="00325D0E" w:rsidRPr="00DA48A0" w:rsidRDefault="00925C74" w:rsidP="00925C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25D0E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діяльності КНП НМР «СМСЧ </w:t>
      </w:r>
      <w:proofErr w:type="spellStart"/>
      <w:r w:rsidR="00325D0E" w:rsidRPr="00DA48A0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="00325D0E" w:rsidRPr="00DA48A0">
        <w:rPr>
          <w:rFonts w:ascii="Times New Roman" w:hAnsi="Times New Roman" w:cs="Times New Roman"/>
          <w:sz w:val="24"/>
          <w:szCs w:val="24"/>
          <w:lang w:val="uk-UA"/>
        </w:rPr>
        <w:t>» впродовж 20</w:t>
      </w:r>
      <w:r w:rsidR="003760B3" w:rsidRPr="00DA48A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25D0E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року заплановано, що видатки відповідатимуть доходам</w:t>
      </w:r>
      <w:r w:rsidR="003760B3" w:rsidRPr="00DA48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5DAF" w:rsidRPr="00DA48A0" w:rsidRDefault="003760B3" w:rsidP="003760B3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Arial" w:eastAsia="Times New Roman" w:hAnsi="Arial" w:cs="Arial"/>
          <w:sz w:val="24"/>
          <w:szCs w:val="24"/>
          <w:lang w:val="uk-UA" w:eastAsia="uk-UA"/>
        </w:rPr>
        <w:t>        </w:t>
      </w:r>
    </w:p>
    <w:p w:rsidR="006E5DAF" w:rsidRPr="00DA48A0" w:rsidRDefault="006E5DAF" w:rsidP="00A33904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C0FE1" w:rsidRPr="00DA48A0" w:rsidRDefault="001067C2" w:rsidP="00090F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27F1" w:rsidRPr="00DA48A0">
        <w:rPr>
          <w:rFonts w:ascii="Times New Roman" w:hAnsi="Times New Roman" w:cs="Times New Roman"/>
          <w:sz w:val="24"/>
          <w:szCs w:val="24"/>
          <w:lang w:val="uk-UA"/>
        </w:rPr>
        <w:t>Тетяна ДІДИЧ</w:t>
      </w:r>
    </w:p>
    <w:p w:rsidR="00FF1A2B" w:rsidRPr="00DA48A0" w:rsidRDefault="00FC0FE1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еко</w:t>
      </w:r>
      <w:r w:rsidR="00873F3A" w:rsidRPr="00DA48A0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DA48A0">
        <w:rPr>
          <w:rFonts w:ascii="Times New Roman" w:hAnsi="Times New Roman" w:cs="Times New Roman"/>
          <w:sz w:val="24"/>
          <w:szCs w:val="24"/>
          <w:lang w:val="uk-UA"/>
        </w:rPr>
        <w:t>мічних питань</w:t>
      </w:r>
      <w:r w:rsidR="00137671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37671" w:rsidRPr="00DA48A0">
        <w:rPr>
          <w:rFonts w:ascii="Times New Roman" w:hAnsi="Times New Roman" w:cs="Times New Roman"/>
          <w:sz w:val="24"/>
          <w:szCs w:val="24"/>
          <w:lang w:val="uk-UA"/>
        </w:rPr>
        <w:tab/>
        <w:t>Валентина ПАРАХІНА</w:t>
      </w:r>
    </w:p>
    <w:p w:rsidR="00FE2FD4" w:rsidRPr="00DA48A0" w:rsidRDefault="00FF1A2B" w:rsidP="001826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A48A0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 xml:space="preserve">ний бухгалтер </w:t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7671" w:rsidRPr="00DA48A0">
        <w:rPr>
          <w:rFonts w:ascii="Times New Roman" w:hAnsi="Times New Roman" w:cs="Times New Roman"/>
          <w:sz w:val="24"/>
          <w:szCs w:val="24"/>
          <w:lang w:val="uk-UA"/>
        </w:rPr>
        <w:t>Ніна ЗІНЧУК</w:t>
      </w:r>
      <w:r w:rsidR="00862366" w:rsidRPr="00DA48A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E2FD4" w:rsidRPr="00DA48A0" w:rsidRDefault="00FE2FD4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FD4" w:rsidRPr="00DA48A0" w:rsidRDefault="00FE2FD4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Pr="00DA48A0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Pr="00DA48A0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252E1" w:rsidSect="00DA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376"/>
    <w:multiLevelType w:val="hybridMultilevel"/>
    <w:tmpl w:val="220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C57"/>
    <w:multiLevelType w:val="multilevel"/>
    <w:tmpl w:val="C03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227F1"/>
    <w:rsid w:val="000256CE"/>
    <w:rsid w:val="00033128"/>
    <w:rsid w:val="0003641D"/>
    <w:rsid w:val="000439FD"/>
    <w:rsid w:val="00065DEB"/>
    <w:rsid w:val="0008197F"/>
    <w:rsid w:val="00090F2B"/>
    <w:rsid w:val="0009748C"/>
    <w:rsid w:val="000B1860"/>
    <w:rsid w:val="000B745A"/>
    <w:rsid w:val="000B7AE9"/>
    <w:rsid w:val="000C3533"/>
    <w:rsid w:val="000C790E"/>
    <w:rsid w:val="001067C2"/>
    <w:rsid w:val="0012041C"/>
    <w:rsid w:val="00137671"/>
    <w:rsid w:val="00164152"/>
    <w:rsid w:val="0017276B"/>
    <w:rsid w:val="001816C2"/>
    <w:rsid w:val="00182604"/>
    <w:rsid w:val="00184085"/>
    <w:rsid w:val="001B295E"/>
    <w:rsid w:val="001D19D3"/>
    <w:rsid w:val="001E1247"/>
    <w:rsid w:val="001F4038"/>
    <w:rsid w:val="002139AD"/>
    <w:rsid w:val="00217D13"/>
    <w:rsid w:val="0022087D"/>
    <w:rsid w:val="00233F80"/>
    <w:rsid w:val="0025325D"/>
    <w:rsid w:val="00256A3F"/>
    <w:rsid w:val="00273C81"/>
    <w:rsid w:val="0027510D"/>
    <w:rsid w:val="00275475"/>
    <w:rsid w:val="00293ED2"/>
    <w:rsid w:val="00295803"/>
    <w:rsid w:val="002B07A8"/>
    <w:rsid w:val="002C380E"/>
    <w:rsid w:val="002C5A31"/>
    <w:rsid w:val="002C73A8"/>
    <w:rsid w:val="002D007F"/>
    <w:rsid w:val="002F7F09"/>
    <w:rsid w:val="00303179"/>
    <w:rsid w:val="0030794D"/>
    <w:rsid w:val="00322A41"/>
    <w:rsid w:val="00325D0E"/>
    <w:rsid w:val="003309F5"/>
    <w:rsid w:val="00333E09"/>
    <w:rsid w:val="00335E22"/>
    <w:rsid w:val="003500E1"/>
    <w:rsid w:val="0035171C"/>
    <w:rsid w:val="00363B3F"/>
    <w:rsid w:val="003760B3"/>
    <w:rsid w:val="003926B2"/>
    <w:rsid w:val="00392FED"/>
    <w:rsid w:val="003A1E09"/>
    <w:rsid w:val="003A4450"/>
    <w:rsid w:val="003A6870"/>
    <w:rsid w:val="003A7D9F"/>
    <w:rsid w:val="003C20A4"/>
    <w:rsid w:val="003C37D8"/>
    <w:rsid w:val="003C4BCB"/>
    <w:rsid w:val="003E02B0"/>
    <w:rsid w:val="003E6353"/>
    <w:rsid w:val="003E6B0D"/>
    <w:rsid w:val="003E7E3B"/>
    <w:rsid w:val="003F7B33"/>
    <w:rsid w:val="00401EF8"/>
    <w:rsid w:val="004101A3"/>
    <w:rsid w:val="004141E4"/>
    <w:rsid w:val="00423277"/>
    <w:rsid w:val="004242B5"/>
    <w:rsid w:val="00426D42"/>
    <w:rsid w:val="00431DD2"/>
    <w:rsid w:val="00440F19"/>
    <w:rsid w:val="00442F92"/>
    <w:rsid w:val="00464D0E"/>
    <w:rsid w:val="00465D7B"/>
    <w:rsid w:val="00476140"/>
    <w:rsid w:val="004907CD"/>
    <w:rsid w:val="004959EA"/>
    <w:rsid w:val="00497AFF"/>
    <w:rsid w:val="004D3EC9"/>
    <w:rsid w:val="004E7B8D"/>
    <w:rsid w:val="005157E8"/>
    <w:rsid w:val="00526E3D"/>
    <w:rsid w:val="00531E36"/>
    <w:rsid w:val="005368EB"/>
    <w:rsid w:val="00560B02"/>
    <w:rsid w:val="00560C70"/>
    <w:rsid w:val="005623B0"/>
    <w:rsid w:val="00573841"/>
    <w:rsid w:val="0057520D"/>
    <w:rsid w:val="0058066D"/>
    <w:rsid w:val="0058230F"/>
    <w:rsid w:val="00596BAB"/>
    <w:rsid w:val="005C0261"/>
    <w:rsid w:val="005E19E7"/>
    <w:rsid w:val="005E7C98"/>
    <w:rsid w:val="00600849"/>
    <w:rsid w:val="006173B0"/>
    <w:rsid w:val="00637D4C"/>
    <w:rsid w:val="00644678"/>
    <w:rsid w:val="00671AA0"/>
    <w:rsid w:val="00680951"/>
    <w:rsid w:val="006819D2"/>
    <w:rsid w:val="006B2710"/>
    <w:rsid w:val="006B6801"/>
    <w:rsid w:val="006C2656"/>
    <w:rsid w:val="006C5FF2"/>
    <w:rsid w:val="006D3A03"/>
    <w:rsid w:val="006D582F"/>
    <w:rsid w:val="006E5DAF"/>
    <w:rsid w:val="00710BCC"/>
    <w:rsid w:val="0071112B"/>
    <w:rsid w:val="00726CD7"/>
    <w:rsid w:val="00727FFD"/>
    <w:rsid w:val="00762544"/>
    <w:rsid w:val="00771017"/>
    <w:rsid w:val="00784EFD"/>
    <w:rsid w:val="007864B0"/>
    <w:rsid w:val="00790006"/>
    <w:rsid w:val="00796A21"/>
    <w:rsid w:val="007B3C68"/>
    <w:rsid w:val="007C3D80"/>
    <w:rsid w:val="007D4376"/>
    <w:rsid w:val="007E7C0C"/>
    <w:rsid w:val="007F3362"/>
    <w:rsid w:val="00801074"/>
    <w:rsid w:val="0080584F"/>
    <w:rsid w:val="00814CAE"/>
    <w:rsid w:val="00816694"/>
    <w:rsid w:val="00823D29"/>
    <w:rsid w:val="00831532"/>
    <w:rsid w:val="0083515E"/>
    <w:rsid w:val="00862366"/>
    <w:rsid w:val="008653D7"/>
    <w:rsid w:val="00873F3A"/>
    <w:rsid w:val="00875D53"/>
    <w:rsid w:val="00892C1C"/>
    <w:rsid w:val="00897B18"/>
    <w:rsid w:val="008B28FD"/>
    <w:rsid w:val="008B4C61"/>
    <w:rsid w:val="008C59E4"/>
    <w:rsid w:val="0090532C"/>
    <w:rsid w:val="00913344"/>
    <w:rsid w:val="00914101"/>
    <w:rsid w:val="00920A5E"/>
    <w:rsid w:val="00924E37"/>
    <w:rsid w:val="00925C74"/>
    <w:rsid w:val="00987270"/>
    <w:rsid w:val="009905BD"/>
    <w:rsid w:val="009910C4"/>
    <w:rsid w:val="00992D82"/>
    <w:rsid w:val="009A403B"/>
    <w:rsid w:val="009A7B05"/>
    <w:rsid w:val="009C37E5"/>
    <w:rsid w:val="009C68E8"/>
    <w:rsid w:val="009D3B52"/>
    <w:rsid w:val="009D5454"/>
    <w:rsid w:val="009F3EC7"/>
    <w:rsid w:val="00A079E3"/>
    <w:rsid w:val="00A15BF3"/>
    <w:rsid w:val="00A33904"/>
    <w:rsid w:val="00A5010A"/>
    <w:rsid w:val="00A5411C"/>
    <w:rsid w:val="00A5685E"/>
    <w:rsid w:val="00A7796D"/>
    <w:rsid w:val="00A83FDC"/>
    <w:rsid w:val="00AC0DAA"/>
    <w:rsid w:val="00AC3E66"/>
    <w:rsid w:val="00AC51B7"/>
    <w:rsid w:val="00AC6260"/>
    <w:rsid w:val="00AF18F4"/>
    <w:rsid w:val="00B144B5"/>
    <w:rsid w:val="00B16C6F"/>
    <w:rsid w:val="00B34F42"/>
    <w:rsid w:val="00B52D55"/>
    <w:rsid w:val="00B5535F"/>
    <w:rsid w:val="00BA1B32"/>
    <w:rsid w:val="00BA3F9A"/>
    <w:rsid w:val="00BA74F4"/>
    <w:rsid w:val="00BB0A86"/>
    <w:rsid w:val="00BB4800"/>
    <w:rsid w:val="00BC6C3F"/>
    <w:rsid w:val="00BD026C"/>
    <w:rsid w:val="00C15031"/>
    <w:rsid w:val="00C15BF4"/>
    <w:rsid w:val="00C52F6D"/>
    <w:rsid w:val="00C53A3E"/>
    <w:rsid w:val="00C63FD8"/>
    <w:rsid w:val="00C6757B"/>
    <w:rsid w:val="00C73BA1"/>
    <w:rsid w:val="00C77C9D"/>
    <w:rsid w:val="00C82766"/>
    <w:rsid w:val="00C9171E"/>
    <w:rsid w:val="00CB041F"/>
    <w:rsid w:val="00CC7DFC"/>
    <w:rsid w:val="00CD40A7"/>
    <w:rsid w:val="00CD41E0"/>
    <w:rsid w:val="00CF138E"/>
    <w:rsid w:val="00CF216B"/>
    <w:rsid w:val="00CF75DE"/>
    <w:rsid w:val="00D43F43"/>
    <w:rsid w:val="00D52EBD"/>
    <w:rsid w:val="00D64F31"/>
    <w:rsid w:val="00DA48A0"/>
    <w:rsid w:val="00DB25A1"/>
    <w:rsid w:val="00DB5A17"/>
    <w:rsid w:val="00DC1C98"/>
    <w:rsid w:val="00DC67BA"/>
    <w:rsid w:val="00DD1FD3"/>
    <w:rsid w:val="00DD464F"/>
    <w:rsid w:val="00DE0FFD"/>
    <w:rsid w:val="00DE14E2"/>
    <w:rsid w:val="00DF459C"/>
    <w:rsid w:val="00E1157F"/>
    <w:rsid w:val="00E13DBC"/>
    <w:rsid w:val="00E1529B"/>
    <w:rsid w:val="00E25530"/>
    <w:rsid w:val="00E32070"/>
    <w:rsid w:val="00E518FB"/>
    <w:rsid w:val="00E74212"/>
    <w:rsid w:val="00E9242C"/>
    <w:rsid w:val="00E93916"/>
    <w:rsid w:val="00EB0910"/>
    <w:rsid w:val="00EB69C4"/>
    <w:rsid w:val="00EC3610"/>
    <w:rsid w:val="00ED0096"/>
    <w:rsid w:val="00ED4991"/>
    <w:rsid w:val="00EF5599"/>
    <w:rsid w:val="00F06BE4"/>
    <w:rsid w:val="00F14DFE"/>
    <w:rsid w:val="00F1655E"/>
    <w:rsid w:val="00F23EA8"/>
    <w:rsid w:val="00F252E1"/>
    <w:rsid w:val="00F45FE6"/>
    <w:rsid w:val="00F523F2"/>
    <w:rsid w:val="00F54992"/>
    <w:rsid w:val="00F7594E"/>
    <w:rsid w:val="00F929E6"/>
    <w:rsid w:val="00F92E9C"/>
    <w:rsid w:val="00F93C37"/>
    <w:rsid w:val="00FA7226"/>
    <w:rsid w:val="00FB073F"/>
    <w:rsid w:val="00FB6678"/>
    <w:rsid w:val="00FC0FE1"/>
    <w:rsid w:val="00FE2D6A"/>
    <w:rsid w:val="00FE2FD4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D66B-0909-471D-B6E6-1ED99C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25BB-7F3E-4F01-B43F-E4907AE7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Zinchuk</cp:lastModifiedBy>
  <cp:revision>161</cp:revision>
  <cp:lastPrinted>2024-01-22T12:54:00Z</cp:lastPrinted>
  <dcterms:created xsi:type="dcterms:W3CDTF">2017-11-28T13:17:00Z</dcterms:created>
  <dcterms:modified xsi:type="dcterms:W3CDTF">2024-12-09T15:01:00Z</dcterms:modified>
</cp:coreProperties>
</file>